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882C" w14:textId="77777777" w:rsidR="00246AAB" w:rsidRDefault="00246AAB" w:rsidP="00246A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463C3C"/>
          <w:sz w:val="30"/>
          <w:szCs w:val="30"/>
        </w:rPr>
      </w:pPr>
      <w:bookmarkStart w:id="0" w:name="_GoBack"/>
      <w:r>
        <w:rPr>
          <w:rFonts w:ascii="Arial" w:hAnsi="Arial" w:cs="Arial"/>
          <w:b/>
          <w:bCs/>
          <w:color w:val="463C3C"/>
          <w:sz w:val="30"/>
          <w:szCs w:val="30"/>
        </w:rPr>
        <w:t>Visiting scholars programme</w:t>
      </w:r>
    </w:p>
    <w:p w14:paraId="1632DD33" w14:textId="77777777" w:rsidR="00246AAB" w:rsidRDefault="00246AAB" w:rsidP="00246A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</w:p>
    <w:p w14:paraId="385C9F81" w14:textId="77777777" w:rsidR="00246AAB" w:rsidRDefault="00246AAB" w:rsidP="00246A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>
        <w:rPr>
          <w:rFonts w:ascii="Arial" w:hAnsi="Arial" w:cs="Arial"/>
          <w:color w:val="463C3C"/>
          <w:sz w:val="30"/>
          <w:szCs w:val="30"/>
        </w:rPr>
        <w:t xml:space="preserve">The faculty has two programmes to encourage international co-operation and raise the faculty's research profile. </w:t>
      </w:r>
    </w:p>
    <w:p w14:paraId="545FF79F" w14:textId="77777777" w:rsidR="00246AAB" w:rsidRDefault="00246AAB" w:rsidP="00246A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</w:p>
    <w:p w14:paraId="00AB6DDA" w14:textId="77777777" w:rsidR="00246AAB" w:rsidRDefault="00246AAB" w:rsidP="00246AAB">
      <w:pPr>
        <w:widowControl w:val="0"/>
        <w:numPr>
          <w:ilvl w:val="0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>
        <w:rPr>
          <w:rFonts w:ascii="Arial" w:hAnsi="Arial" w:cs="Arial"/>
          <w:color w:val="463C3C"/>
          <w:sz w:val="30"/>
          <w:szCs w:val="30"/>
        </w:rPr>
        <w:t xml:space="preserve">The first programme is for a </w:t>
      </w:r>
      <w:r>
        <w:rPr>
          <w:rFonts w:ascii="Arial" w:hAnsi="Arial" w:cs="Arial"/>
          <w:b/>
          <w:bCs/>
          <w:color w:val="463C3C"/>
          <w:sz w:val="30"/>
          <w:szCs w:val="30"/>
        </w:rPr>
        <w:t>once-off short</w:t>
      </w:r>
      <w:r>
        <w:rPr>
          <w:rFonts w:ascii="Arial" w:hAnsi="Arial" w:cs="Arial"/>
          <w:color w:val="463C3C"/>
          <w:sz w:val="30"/>
          <w:szCs w:val="30"/>
        </w:rPr>
        <w:t xml:space="preserve"> (&lt; 4 weeks) visit.R20 000 is available per visit, with a maximum of R50 000 per department per year. </w:t>
      </w:r>
    </w:p>
    <w:p w14:paraId="4BA1E490" w14:textId="77777777" w:rsidR="00246AAB" w:rsidRDefault="00246AAB" w:rsidP="00246AAB">
      <w:pPr>
        <w:widowControl w:val="0"/>
        <w:numPr>
          <w:ilvl w:val="0"/>
          <w:numId w:val="2"/>
        </w:numPr>
        <w:tabs>
          <w:tab w:val="left" w:pos="32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>
        <w:rPr>
          <w:rFonts w:ascii="Arial" w:hAnsi="Arial" w:cs="Arial"/>
          <w:color w:val="463C3C"/>
          <w:sz w:val="30"/>
          <w:szCs w:val="30"/>
        </w:rPr>
        <w:t>Applications have to be submitted to the Faculty Committee</w:t>
      </w:r>
    </w:p>
    <w:p w14:paraId="6D5281EF" w14:textId="77777777" w:rsidR="001325AC" w:rsidRDefault="001325AC" w:rsidP="001325AC">
      <w:pPr>
        <w:widowControl w:val="0"/>
        <w:tabs>
          <w:tab w:val="left" w:pos="32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</w:p>
    <w:p w14:paraId="114F9647" w14:textId="77777777" w:rsidR="001325AC" w:rsidRDefault="001325AC" w:rsidP="001325AC">
      <w:pPr>
        <w:widowControl w:val="0"/>
        <w:tabs>
          <w:tab w:val="left" w:pos="320"/>
          <w:tab w:val="left" w:pos="6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</w:p>
    <w:p w14:paraId="1CCA5423" w14:textId="77777777" w:rsidR="00246AAB" w:rsidRDefault="00246AAB" w:rsidP="00246AAB">
      <w:pPr>
        <w:widowControl w:val="0"/>
        <w:numPr>
          <w:ilvl w:val="0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>
        <w:rPr>
          <w:rFonts w:ascii="Arial" w:hAnsi="Arial" w:cs="Arial"/>
          <w:color w:val="463C3C"/>
          <w:sz w:val="30"/>
          <w:szCs w:val="30"/>
        </w:rPr>
        <w:t>The second programme is for</w:t>
      </w:r>
      <w:r>
        <w:rPr>
          <w:rFonts w:ascii="Arial" w:hAnsi="Arial" w:cs="Arial"/>
          <w:b/>
          <w:bCs/>
          <w:color w:val="463C3C"/>
          <w:sz w:val="30"/>
          <w:szCs w:val="30"/>
        </w:rPr>
        <w:t xml:space="preserve"> longer visits </w:t>
      </w:r>
      <w:r>
        <w:rPr>
          <w:rFonts w:ascii="Arial" w:hAnsi="Arial" w:cs="Arial"/>
          <w:color w:val="463C3C"/>
          <w:sz w:val="30"/>
          <w:szCs w:val="30"/>
        </w:rPr>
        <w:t xml:space="preserve">(1 to 6 months).  </w:t>
      </w:r>
    </w:p>
    <w:p w14:paraId="190A9045" w14:textId="77777777" w:rsidR="00246AAB" w:rsidRDefault="00246AAB" w:rsidP="00246AAB">
      <w:pPr>
        <w:widowControl w:val="0"/>
        <w:numPr>
          <w:ilvl w:val="0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>
        <w:rPr>
          <w:rFonts w:ascii="Arial" w:hAnsi="Arial" w:cs="Arial"/>
          <w:color w:val="463C3C"/>
          <w:sz w:val="30"/>
          <w:szCs w:val="30"/>
        </w:rPr>
        <w:t xml:space="preserve">Departments can apply for funding under this scheme, but with a two budget-year gap between visits. </w:t>
      </w:r>
    </w:p>
    <w:p w14:paraId="7CAE366F" w14:textId="77777777" w:rsidR="0053435A" w:rsidRDefault="00246AAB" w:rsidP="0053435A">
      <w:pPr>
        <w:widowControl w:val="0"/>
        <w:numPr>
          <w:ilvl w:val="0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 w:rsidRPr="0053435A">
        <w:rPr>
          <w:rFonts w:ascii="Arial" w:hAnsi="Arial" w:cs="Arial"/>
          <w:color w:val="463C3C"/>
          <w:sz w:val="30"/>
          <w:szCs w:val="30"/>
        </w:rPr>
        <w:t>The maximum allowance is R115 500 and may be used for:</w:t>
      </w:r>
    </w:p>
    <w:p w14:paraId="1AB16491" w14:textId="426B4566" w:rsidR="001325AC" w:rsidRPr="0053435A" w:rsidRDefault="001325AC" w:rsidP="0053435A">
      <w:pPr>
        <w:widowControl w:val="0"/>
        <w:numPr>
          <w:ilvl w:val="1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 w:rsidRPr="0053435A">
        <w:rPr>
          <w:rFonts w:ascii="Arial" w:hAnsi="Arial" w:cs="Arial"/>
          <w:color w:val="463C3C"/>
          <w:sz w:val="30"/>
          <w:szCs w:val="30"/>
        </w:rPr>
        <w:t>Travel and accommodation for one person at economy class rates</w:t>
      </w:r>
    </w:p>
    <w:p w14:paraId="03A5DBDB" w14:textId="77777777" w:rsidR="0053435A" w:rsidRDefault="001325AC" w:rsidP="0053435A">
      <w:pPr>
        <w:widowControl w:val="0"/>
        <w:numPr>
          <w:ilvl w:val="1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 w:rsidRPr="0053435A">
        <w:rPr>
          <w:rFonts w:ascii="Arial" w:hAnsi="Arial" w:cs="Arial"/>
          <w:color w:val="463C3C"/>
          <w:sz w:val="30"/>
          <w:szCs w:val="30"/>
        </w:rPr>
        <w:t>Accommodation per night at a rate not exceeding 50% of the US tariff per night</w:t>
      </w:r>
    </w:p>
    <w:p w14:paraId="67AF6DEF" w14:textId="535B6293" w:rsidR="001325AC" w:rsidRDefault="001325AC" w:rsidP="0053435A">
      <w:pPr>
        <w:widowControl w:val="0"/>
        <w:numPr>
          <w:ilvl w:val="1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 w:rsidRPr="0053435A">
        <w:rPr>
          <w:rFonts w:ascii="Arial" w:hAnsi="Arial" w:cs="Arial"/>
          <w:color w:val="463C3C"/>
          <w:sz w:val="30"/>
          <w:szCs w:val="30"/>
        </w:rPr>
        <w:t>A honorarium arranged prior to the visit with the visiting academic, the dean, the host department and the international office</w:t>
      </w:r>
      <w:r w:rsidR="00532C10">
        <w:rPr>
          <w:rFonts w:ascii="Arial" w:hAnsi="Arial" w:cs="Arial"/>
          <w:color w:val="463C3C"/>
          <w:sz w:val="30"/>
          <w:szCs w:val="30"/>
        </w:rPr>
        <w:t>. An honorariums may be paid without a visa for visits less than 90 days in duration. All honoraria are taxable at a rate of 25%</w:t>
      </w:r>
    </w:p>
    <w:p w14:paraId="0A4B49DB" w14:textId="77777777" w:rsidR="00B84631" w:rsidRDefault="00246AAB" w:rsidP="00246AAB">
      <w:pPr>
        <w:widowControl w:val="0"/>
        <w:numPr>
          <w:ilvl w:val="0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>
        <w:rPr>
          <w:rFonts w:ascii="Arial" w:hAnsi="Arial" w:cs="Arial"/>
          <w:color w:val="463C3C"/>
          <w:sz w:val="30"/>
          <w:szCs w:val="30"/>
        </w:rPr>
        <w:t xml:space="preserve">The </w:t>
      </w:r>
      <w:r w:rsidR="00D42EE7">
        <w:rPr>
          <w:rFonts w:ascii="Arial" w:hAnsi="Arial" w:cs="Arial"/>
          <w:color w:val="463C3C"/>
          <w:sz w:val="30"/>
          <w:szCs w:val="30"/>
        </w:rPr>
        <w:t xml:space="preserve">host </w:t>
      </w:r>
      <w:r>
        <w:rPr>
          <w:rFonts w:ascii="Arial" w:hAnsi="Arial" w:cs="Arial"/>
          <w:color w:val="463C3C"/>
          <w:sz w:val="30"/>
          <w:szCs w:val="30"/>
        </w:rPr>
        <w:t xml:space="preserve">Department applies to the Faculty Committee </w:t>
      </w:r>
      <w:r w:rsidR="0074608E">
        <w:rPr>
          <w:rFonts w:ascii="Arial" w:hAnsi="Arial" w:cs="Arial"/>
          <w:color w:val="463C3C"/>
          <w:sz w:val="30"/>
          <w:szCs w:val="30"/>
        </w:rPr>
        <w:t xml:space="preserve">for permission to proceed with the visit. </w:t>
      </w:r>
    </w:p>
    <w:p w14:paraId="31D7D91F" w14:textId="078B7748" w:rsidR="00246AAB" w:rsidRDefault="0074608E" w:rsidP="00246AAB">
      <w:pPr>
        <w:widowControl w:val="0"/>
        <w:numPr>
          <w:ilvl w:val="0"/>
          <w:numId w:val="2"/>
        </w:numPr>
        <w:tabs>
          <w:tab w:val="left" w:pos="20"/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463C3C"/>
          <w:sz w:val="30"/>
          <w:szCs w:val="30"/>
        </w:rPr>
      </w:pPr>
      <w:r>
        <w:rPr>
          <w:rFonts w:ascii="Arial" w:hAnsi="Arial" w:cs="Arial"/>
          <w:color w:val="463C3C"/>
          <w:sz w:val="30"/>
          <w:szCs w:val="30"/>
        </w:rPr>
        <w:t xml:space="preserve">This is followed the submission of </w:t>
      </w:r>
      <w:r w:rsidR="00246AAB">
        <w:rPr>
          <w:rFonts w:ascii="Arial" w:hAnsi="Arial" w:cs="Arial"/>
          <w:color w:val="463C3C"/>
          <w:sz w:val="30"/>
          <w:szCs w:val="30"/>
        </w:rPr>
        <w:t>a comprehensive budget for the visit</w:t>
      </w:r>
      <w:r w:rsidR="00B84631">
        <w:rPr>
          <w:rFonts w:ascii="Arial" w:hAnsi="Arial" w:cs="Arial"/>
          <w:color w:val="463C3C"/>
          <w:sz w:val="30"/>
          <w:szCs w:val="30"/>
        </w:rPr>
        <w:t xml:space="preserve"> based </w:t>
      </w:r>
      <w:r w:rsidR="00F02638">
        <w:rPr>
          <w:rFonts w:ascii="Arial" w:hAnsi="Arial" w:cs="Arial"/>
          <w:color w:val="463C3C"/>
          <w:sz w:val="30"/>
          <w:szCs w:val="30"/>
        </w:rPr>
        <w:t>upon</w:t>
      </w:r>
      <w:r w:rsidR="00B84631">
        <w:rPr>
          <w:rFonts w:ascii="Arial" w:hAnsi="Arial" w:cs="Arial"/>
          <w:color w:val="463C3C"/>
          <w:sz w:val="30"/>
          <w:szCs w:val="30"/>
        </w:rPr>
        <w:t xml:space="preserve"> which the</w:t>
      </w:r>
      <w:r w:rsidR="00203900">
        <w:rPr>
          <w:rFonts w:ascii="Arial" w:hAnsi="Arial" w:cs="Arial"/>
          <w:color w:val="463C3C"/>
          <w:sz w:val="30"/>
          <w:szCs w:val="30"/>
        </w:rPr>
        <w:t xml:space="preserve"> D</w:t>
      </w:r>
      <w:r w:rsidR="00B84631">
        <w:rPr>
          <w:rFonts w:ascii="Arial" w:hAnsi="Arial" w:cs="Arial"/>
          <w:color w:val="463C3C"/>
          <w:sz w:val="30"/>
          <w:szCs w:val="30"/>
        </w:rPr>
        <w:t>ean make a final decision</w:t>
      </w:r>
    </w:p>
    <w:p w14:paraId="40B1481D" w14:textId="40836DB1" w:rsidR="00AB1AB1" w:rsidRDefault="00246AAB" w:rsidP="00246AAB">
      <w:pPr>
        <w:pStyle w:val="ListParagraph"/>
        <w:numPr>
          <w:ilvl w:val="0"/>
          <w:numId w:val="2"/>
        </w:numPr>
      </w:pPr>
      <w:r w:rsidRPr="00246AAB">
        <w:rPr>
          <w:rFonts w:ascii="Arial" w:hAnsi="Arial" w:cs="Arial"/>
          <w:color w:val="463C3C"/>
          <w:sz w:val="30"/>
          <w:szCs w:val="30"/>
        </w:rPr>
        <w:lastRenderedPageBreak/>
        <w:t xml:space="preserve">The </w:t>
      </w:r>
      <w:r w:rsidR="00DD6BBF">
        <w:rPr>
          <w:rFonts w:ascii="Arial" w:hAnsi="Arial" w:cs="Arial"/>
          <w:color w:val="463C3C"/>
          <w:sz w:val="30"/>
          <w:szCs w:val="30"/>
        </w:rPr>
        <w:t>Dean</w:t>
      </w:r>
      <w:r w:rsidRPr="00246AAB">
        <w:rPr>
          <w:rFonts w:ascii="Arial" w:hAnsi="Arial" w:cs="Arial"/>
          <w:color w:val="463C3C"/>
          <w:sz w:val="30"/>
          <w:szCs w:val="30"/>
        </w:rPr>
        <w:t xml:space="preserve"> also requires a report on alternative funding within the university which the department has applied for with respect to the visit</w:t>
      </w:r>
    </w:p>
    <w:bookmarkEnd w:id="0"/>
    <w:sectPr w:rsidR="00AB1AB1" w:rsidSect="006552D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94710C2"/>
    <w:multiLevelType w:val="hybridMultilevel"/>
    <w:tmpl w:val="40C6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AB"/>
    <w:rsid w:val="001325AC"/>
    <w:rsid w:val="00203900"/>
    <w:rsid w:val="00246AAB"/>
    <w:rsid w:val="00532C10"/>
    <w:rsid w:val="0053435A"/>
    <w:rsid w:val="006552D2"/>
    <w:rsid w:val="0074608E"/>
    <w:rsid w:val="00AB1AB1"/>
    <w:rsid w:val="00B84631"/>
    <w:rsid w:val="00D42EE7"/>
    <w:rsid w:val="00DD6BBF"/>
    <w:rsid w:val="00F026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A9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du Plessis</dc:creator>
  <cp:keywords/>
  <dc:description/>
  <cp:lastModifiedBy>Stan du Plessis</cp:lastModifiedBy>
  <cp:revision>11</cp:revision>
  <dcterms:created xsi:type="dcterms:W3CDTF">2012-02-28T10:21:00Z</dcterms:created>
  <dcterms:modified xsi:type="dcterms:W3CDTF">2012-02-28T10:30:00Z</dcterms:modified>
</cp:coreProperties>
</file>